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66" w:rsidRPr="009B2F66" w:rsidRDefault="009B2F66" w:rsidP="00184A8E">
      <w:pPr>
        <w:jc w:val="center"/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9B2F66">
        <w:rPr>
          <w:rFonts w:asciiTheme="majorHAnsi" w:eastAsia="+mj-ea" w:hAnsiTheme="majorHAnsi" w:cs="+mj-cs"/>
          <w:b/>
          <w:color w:val="990033"/>
          <w:sz w:val="32"/>
          <w:szCs w:val="32"/>
        </w:rPr>
        <w:t>Прозрачность бюджета и подотчетность</w:t>
      </w:r>
    </w:p>
    <w:p w:rsidR="00E76EF5" w:rsidRDefault="00E76EF5" w:rsidP="00804E26">
      <w:pPr>
        <w:shd w:val="clear" w:color="auto" w:fill="FFFFFF"/>
        <w:spacing w:after="0" w:line="315" w:lineRule="atLeast"/>
        <w:jc w:val="both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</w:p>
    <w:p w:rsidR="00804E26" w:rsidRPr="00804E26" w:rsidRDefault="00804E26" w:rsidP="00804E26">
      <w:pPr>
        <w:shd w:val="clear" w:color="auto" w:fill="FFFFFF"/>
        <w:spacing w:after="0" w:line="315" w:lineRule="atLeast"/>
        <w:jc w:val="both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804E26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Повышение уровня информационной прозрачности деятельности органов государственной (муниципальной) власти, принимающих участие в подготовке, исполнении бюджета и составлении бюджетной отчетности, способствует повышению качества их работы и системы управления общественными финансами в целом.</w:t>
      </w:r>
    </w:p>
    <w:p w:rsidR="00804E26" w:rsidRDefault="00804E26" w:rsidP="00804E26">
      <w:pPr>
        <w:shd w:val="clear" w:color="auto" w:fill="FFFFFF"/>
        <w:spacing w:after="0" w:line="315" w:lineRule="atLeast"/>
        <w:jc w:val="both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bookmarkStart w:id="0" w:name="dst100613"/>
      <w:bookmarkEnd w:id="0"/>
    </w:p>
    <w:p w:rsidR="00804E26" w:rsidRPr="00804E26" w:rsidRDefault="00804E26" w:rsidP="00804E26">
      <w:pPr>
        <w:shd w:val="clear" w:color="auto" w:fill="FFFFFF"/>
        <w:spacing w:after="0" w:line="315" w:lineRule="atLeast"/>
        <w:jc w:val="both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804E26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 xml:space="preserve">Открытость бюджета - основа для повышения информированности и вовлеченности целевых аудиторий. В качестве ориентира для оценки прозрачности общественных финансов может быть использован </w:t>
      </w:r>
      <w:proofErr w:type="spellStart"/>
      <w:r w:rsidRPr="00804E26">
        <w:rPr>
          <w:rFonts w:asciiTheme="majorHAnsi" w:eastAsia="+mn-ea" w:hAnsiTheme="majorHAnsi" w:cs="+mn-cs"/>
          <w:b/>
          <w:color w:val="330033"/>
          <w:sz w:val="28"/>
          <w:szCs w:val="28"/>
          <w:lang w:eastAsia="ru-RU"/>
        </w:rPr>
        <w:t>Open</w:t>
      </w:r>
      <w:proofErr w:type="spellEnd"/>
      <w:r w:rsidRPr="00804E26">
        <w:rPr>
          <w:rFonts w:asciiTheme="majorHAnsi" w:eastAsia="+mn-ea" w:hAnsiTheme="majorHAnsi" w:cs="+mn-cs"/>
          <w:b/>
          <w:color w:val="330033"/>
          <w:sz w:val="28"/>
          <w:szCs w:val="28"/>
          <w:lang w:eastAsia="ru-RU"/>
        </w:rPr>
        <w:t xml:space="preserve"> </w:t>
      </w:r>
      <w:proofErr w:type="spellStart"/>
      <w:r w:rsidRPr="00804E26">
        <w:rPr>
          <w:rFonts w:asciiTheme="majorHAnsi" w:eastAsia="+mn-ea" w:hAnsiTheme="majorHAnsi" w:cs="+mn-cs"/>
          <w:b/>
          <w:color w:val="330033"/>
          <w:sz w:val="28"/>
          <w:szCs w:val="28"/>
          <w:lang w:eastAsia="ru-RU"/>
        </w:rPr>
        <w:t>Budget</w:t>
      </w:r>
      <w:proofErr w:type="spellEnd"/>
      <w:r w:rsidRPr="00804E26">
        <w:rPr>
          <w:rFonts w:asciiTheme="majorHAnsi" w:eastAsia="+mn-ea" w:hAnsiTheme="majorHAnsi" w:cs="+mn-cs"/>
          <w:b/>
          <w:color w:val="330033"/>
          <w:sz w:val="28"/>
          <w:szCs w:val="28"/>
          <w:lang w:eastAsia="ru-RU"/>
        </w:rPr>
        <w:t xml:space="preserve"> </w:t>
      </w:r>
      <w:proofErr w:type="spellStart"/>
      <w:r w:rsidRPr="00804E26">
        <w:rPr>
          <w:rFonts w:asciiTheme="majorHAnsi" w:eastAsia="+mn-ea" w:hAnsiTheme="majorHAnsi" w:cs="+mn-cs"/>
          <w:b/>
          <w:color w:val="330033"/>
          <w:sz w:val="28"/>
          <w:szCs w:val="28"/>
          <w:lang w:eastAsia="ru-RU"/>
        </w:rPr>
        <w:t>Index</w:t>
      </w:r>
      <w:proofErr w:type="spellEnd"/>
      <w:r w:rsidRPr="00804E26">
        <w:rPr>
          <w:rFonts w:asciiTheme="majorHAnsi" w:eastAsia="+mn-ea" w:hAnsiTheme="majorHAnsi" w:cs="+mn-cs"/>
          <w:b/>
          <w:color w:val="330033"/>
          <w:sz w:val="28"/>
          <w:szCs w:val="28"/>
          <w:lang w:eastAsia="ru-RU"/>
        </w:rPr>
        <w:t xml:space="preserve"> - Индекс открытости бюджета</w:t>
      </w:r>
      <w:r w:rsidRPr="00804E26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, рассчитываемый с 2006 года Международным бюджетным партнерством (</w:t>
      </w:r>
      <w:proofErr w:type="spellStart"/>
      <w:r w:rsidRPr="00804E26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International</w:t>
      </w:r>
      <w:proofErr w:type="spellEnd"/>
      <w:r w:rsidRPr="00804E26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 xml:space="preserve"> </w:t>
      </w:r>
      <w:proofErr w:type="spellStart"/>
      <w:r w:rsidRPr="00804E26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Budget</w:t>
      </w:r>
      <w:proofErr w:type="spellEnd"/>
      <w:r w:rsidRPr="00804E26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 xml:space="preserve"> </w:t>
      </w:r>
      <w:proofErr w:type="spellStart"/>
      <w:r w:rsidRPr="00804E26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Partnership</w:t>
      </w:r>
      <w:proofErr w:type="spellEnd"/>
      <w:r w:rsidRPr="00804E26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).</w:t>
      </w:r>
    </w:p>
    <w:p w:rsidR="00804E26" w:rsidRDefault="00804E26" w:rsidP="00804E26">
      <w:pPr>
        <w:shd w:val="clear" w:color="auto" w:fill="FFFFFF"/>
        <w:spacing w:after="0" w:line="315" w:lineRule="atLeast"/>
        <w:jc w:val="both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bookmarkStart w:id="1" w:name="dst100614"/>
      <w:bookmarkEnd w:id="1"/>
    </w:p>
    <w:p w:rsidR="00804E26" w:rsidRPr="00804E26" w:rsidRDefault="00804E26" w:rsidP="00804E26">
      <w:pPr>
        <w:shd w:val="clear" w:color="auto" w:fill="FFFFFF"/>
        <w:spacing w:after="0" w:line="315" w:lineRule="atLeast"/>
        <w:jc w:val="both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804E26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Обзор открытости бюджетов представляет собой наиболее авторитетное независимое регулярное издание, содержащее результаты измерения бюджетной прозрачности и подотчетности в мире.</w:t>
      </w:r>
    </w:p>
    <w:p w:rsidR="009B2F66" w:rsidRPr="009B2F66" w:rsidRDefault="009B2F66" w:rsidP="009B2F66">
      <w:pPr>
        <w:spacing w:before="100" w:beforeAutospacing="1" w:after="100" w:afterAutospacing="1" w:line="240" w:lineRule="auto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9B2F66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Международный валютный фонд определяет четыре критерия финансовой прозрачности:</w:t>
      </w:r>
    </w:p>
    <w:p w:rsidR="009B2F66" w:rsidRPr="009B2F66" w:rsidRDefault="009B2F66" w:rsidP="009B2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</w:pPr>
      <w:r w:rsidRPr="009B2F66">
        <w:rPr>
          <w:rFonts w:asciiTheme="majorHAnsi" w:eastAsia="+mn-ea" w:hAnsiTheme="majorHAnsi" w:cs="+mn-cs"/>
          <w:b/>
          <w:color w:val="330033"/>
          <w:sz w:val="24"/>
          <w:szCs w:val="24"/>
          <w:lang w:eastAsia="ru-RU"/>
        </w:rPr>
        <w:t>четкость (прозрачность) функций и обязанностей:</w:t>
      </w:r>
      <w:r w:rsidRPr="009B2F6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9B2F66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 xml:space="preserve">следует отделять органы государственного управления от остальной части государственного сектора и от остальной экономики. Функции политики и управления в рамках государственного сектора должны быть четко определены, и эта информация должна быть </w:t>
      </w:r>
      <w:proofErr w:type="gramStart"/>
      <w:r w:rsidRPr="009B2F66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>широко доступна</w:t>
      </w:r>
      <w:proofErr w:type="gramEnd"/>
      <w:r w:rsidRPr="009B2F66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>. Также должна быть четкая и открытая правовая, нормативная и административная основы для фискального управления;</w:t>
      </w:r>
    </w:p>
    <w:p w:rsidR="009B2F66" w:rsidRPr="009B2F66" w:rsidRDefault="009B2F66" w:rsidP="009B2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</w:pPr>
      <w:r w:rsidRPr="009B2F66">
        <w:rPr>
          <w:rFonts w:asciiTheme="majorHAnsi" w:eastAsia="+mn-ea" w:hAnsiTheme="majorHAnsi" w:cs="+mn-cs"/>
          <w:b/>
          <w:color w:val="330033"/>
          <w:sz w:val="24"/>
          <w:szCs w:val="24"/>
          <w:lang w:eastAsia="ru-RU"/>
        </w:rPr>
        <w:t>открытость бюджетных процессов</w:t>
      </w:r>
      <w:r w:rsidRPr="009B2F6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</w:t>
      </w:r>
      <w:r w:rsidRPr="009B2F66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>подготовка бюджета должна соответствовать установленному реалистичному графику и следовать четко определенным целям макроэкономической и фискальной политики. Должны существовать   четкие процедуры подготовки, исполнения и мониторинга бюджета;</w:t>
      </w:r>
    </w:p>
    <w:p w:rsidR="009B2F66" w:rsidRPr="009B2F66" w:rsidRDefault="009B2F66" w:rsidP="009B2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</w:pPr>
      <w:r w:rsidRPr="009B2F66">
        <w:rPr>
          <w:rFonts w:asciiTheme="majorHAnsi" w:eastAsia="+mn-ea" w:hAnsiTheme="majorHAnsi" w:cs="+mn-cs"/>
          <w:b/>
          <w:color w:val="330033"/>
          <w:sz w:val="24"/>
          <w:szCs w:val="24"/>
          <w:lang w:eastAsia="ru-RU"/>
        </w:rPr>
        <w:t>доступность информации для общественности:</w:t>
      </w:r>
      <w:r w:rsidRPr="009B2F6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9B2F66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>общественности следует предоставлять исчерпывающую информацию о прошлой, текущей и прогнозируемой финансовой деятельности и основных финансовых рисках. Бюджетная информация должна быть представлена таким образом, чтобы облегчать анализ политики и увеличивать подотчетность. Своевременная публикация финансовой информации должна быть законодательно утверждена на правительственном уровне;</w:t>
      </w:r>
    </w:p>
    <w:p w:rsidR="009B2F66" w:rsidRPr="009B2F66" w:rsidRDefault="009B2F66" w:rsidP="009B2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9B2F66">
        <w:rPr>
          <w:rFonts w:asciiTheme="majorHAnsi" w:eastAsia="+mn-ea" w:hAnsiTheme="majorHAnsi" w:cs="+mn-cs"/>
          <w:b/>
          <w:color w:val="330033"/>
          <w:sz w:val="24"/>
          <w:szCs w:val="24"/>
          <w:lang w:eastAsia="ru-RU"/>
        </w:rPr>
        <w:t>обеспечение целостности:</w:t>
      </w:r>
      <w:r w:rsidRPr="009B2F6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9B2F66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>фискальные данные должны   соответствовать принятым   стандартам   качества данных. Налогово-бюджетная деятельность   должна   подлежать эффективному внутреннему надзору, защитным мерам и подвергаться внешнему контролю</w:t>
      </w:r>
      <w:r w:rsidRPr="009B2F66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9B2F66" w:rsidRPr="009B2F66" w:rsidRDefault="009B2F66" w:rsidP="002C7A51">
      <w:pPr>
        <w:jc w:val="center"/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9B2F66">
        <w:rPr>
          <w:rFonts w:asciiTheme="majorHAnsi" w:eastAsia="+mj-ea" w:hAnsiTheme="majorHAnsi" w:cs="+mj-cs"/>
          <w:b/>
          <w:color w:val="990033"/>
          <w:sz w:val="32"/>
          <w:szCs w:val="32"/>
        </w:rPr>
        <w:lastRenderedPageBreak/>
        <w:t>ИНДЕКС ОТКРЫТОСТИ БЮДЖЕТНЫХ ПРОЦЕССОВ</w:t>
      </w:r>
    </w:p>
    <w:p w:rsidR="009B2F66" w:rsidRPr="009B6A39" w:rsidRDefault="009B2F66" w:rsidP="009B2F66">
      <w:pPr>
        <w:spacing w:before="100" w:beforeAutospacing="1" w:after="100" w:afterAutospacing="1" w:line="240" w:lineRule="auto"/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</w:pPr>
      <w:r w:rsidRPr="009B2F66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>Единственным существующим показателем прозрачности бюджета со стороны гражданского общества является</w:t>
      </w:r>
      <w:r w:rsidRPr="009B2F6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9B2F6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«</w:t>
      </w:r>
      <w:r w:rsidRPr="009B2F66">
        <w:rPr>
          <w:rFonts w:asciiTheme="majorHAnsi" w:eastAsia="+mn-ea" w:hAnsiTheme="majorHAnsi" w:cs="+mn-cs"/>
          <w:b/>
          <w:color w:val="330033"/>
          <w:sz w:val="24"/>
          <w:szCs w:val="24"/>
          <w:lang w:eastAsia="ru-RU"/>
        </w:rPr>
        <w:t>Обзор открытости бюджета» (</w:t>
      </w:r>
      <w:proofErr w:type="spellStart"/>
      <w:r w:rsidRPr="009B2F66">
        <w:rPr>
          <w:rFonts w:asciiTheme="majorHAnsi" w:eastAsia="+mn-ea" w:hAnsiTheme="majorHAnsi" w:cs="+mn-cs"/>
          <w:b/>
          <w:color w:val="330033"/>
          <w:sz w:val="24"/>
          <w:szCs w:val="24"/>
          <w:lang w:eastAsia="ru-RU"/>
        </w:rPr>
        <w:t>Open</w:t>
      </w:r>
      <w:proofErr w:type="spellEnd"/>
      <w:r w:rsidRPr="009B2F66">
        <w:rPr>
          <w:rFonts w:asciiTheme="majorHAnsi" w:eastAsia="+mn-ea" w:hAnsiTheme="majorHAnsi" w:cs="+mn-cs"/>
          <w:b/>
          <w:color w:val="330033"/>
          <w:sz w:val="24"/>
          <w:szCs w:val="24"/>
          <w:lang w:eastAsia="ru-RU"/>
        </w:rPr>
        <w:t xml:space="preserve"> </w:t>
      </w:r>
      <w:proofErr w:type="spellStart"/>
      <w:r w:rsidRPr="009B2F66">
        <w:rPr>
          <w:rFonts w:asciiTheme="majorHAnsi" w:eastAsia="+mn-ea" w:hAnsiTheme="majorHAnsi" w:cs="+mn-cs"/>
          <w:b/>
          <w:color w:val="330033"/>
          <w:sz w:val="24"/>
          <w:szCs w:val="24"/>
          <w:lang w:eastAsia="ru-RU"/>
        </w:rPr>
        <w:t>Budget</w:t>
      </w:r>
      <w:proofErr w:type="spellEnd"/>
      <w:r w:rsidRPr="009B2F66">
        <w:rPr>
          <w:rFonts w:asciiTheme="majorHAnsi" w:eastAsia="+mn-ea" w:hAnsiTheme="majorHAnsi" w:cs="+mn-cs"/>
          <w:b/>
          <w:color w:val="330033"/>
          <w:sz w:val="24"/>
          <w:szCs w:val="24"/>
          <w:lang w:eastAsia="ru-RU"/>
        </w:rPr>
        <w:t xml:space="preserve"> </w:t>
      </w:r>
      <w:proofErr w:type="spellStart"/>
      <w:r w:rsidRPr="009B2F66">
        <w:rPr>
          <w:rFonts w:asciiTheme="majorHAnsi" w:eastAsia="+mn-ea" w:hAnsiTheme="majorHAnsi" w:cs="+mn-cs"/>
          <w:b/>
          <w:color w:val="330033"/>
          <w:sz w:val="24"/>
          <w:szCs w:val="24"/>
          <w:lang w:eastAsia="ru-RU"/>
        </w:rPr>
        <w:t>Survey</w:t>
      </w:r>
      <w:proofErr w:type="spellEnd"/>
      <w:r w:rsidRPr="009B2F66">
        <w:rPr>
          <w:rFonts w:asciiTheme="majorHAnsi" w:eastAsia="+mn-ea" w:hAnsiTheme="majorHAnsi" w:cs="+mn-cs"/>
          <w:b/>
          <w:color w:val="330033"/>
          <w:sz w:val="24"/>
          <w:szCs w:val="24"/>
          <w:lang w:eastAsia="ru-RU"/>
        </w:rPr>
        <w:t>),</w:t>
      </w:r>
      <w:r w:rsidRPr="009B2F6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9B2F66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 xml:space="preserve">проводимый Международным бюджетным партнерством (МБП) каждые два года. </w:t>
      </w:r>
    </w:p>
    <w:p w:rsidR="009B2F66" w:rsidRPr="009B6A39" w:rsidRDefault="009B2F66" w:rsidP="009B2F66">
      <w:pPr>
        <w:spacing w:before="100" w:beforeAutospacing="1" w:after="100" w:afterAutospacing="1" w:line="240" w:lineRule="auto"/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</w:pPr>
      <w:r w:rsidRPr="009B2F66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 xml:space="preserve">Это независимое исследование охватывает более 90 стран и позволяет осуществить сравнительный анализ уровней прозрачности и подотчетности государственных бюджетов.  </w:t>
      </w:r>
    </w:p>
    <w:p w:rsidR="005F2FC2" w:rsidRPr="009B6A39" w:rsidRDefault="009B2F66" w:rsidP="009B2F66">
      <w:pPr>
        <w:spacing w:before="100" w:beforeAutospacing="1" w:after="100" w:afterAutospacing="1" w:line="240" w:lineRule="auto"/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</w:pPr>
      <w:r w:rsidRPr="009B2F66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 xml:space="preserve">Для  оценки  прозрачности </w:t>
      </w:r>
      <w:r w:rsidRPr="009B6A39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 xml:space="preserve"> используется признанный на международном уровне перечень критериев, на </w:t>
      </w:r>
      <w:r w:rsidRPr="009B2F66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 xml:space="preserve">основе  которого  по  100-балльной  шкале </w:t>
      </w:r>
      <w:r w:rsidR="005F2FC2" w:rsidRPr="009B6A39">
        <w:rPr>
          <w:rFonts w:asciiTheme="majorHAnsi" w:eastAsia="+mn-ea" w:hAnsiTheme="majorHAnsi" w:cs="+mn-cs"/>
          <w:color w:val="330033"/>
          <w:sz w:val="24"/>
          <w:szCs w:val="24"/>
          <w:lang w:eastAsia="ru-RU"/>
        </w:rPr>
        <w:t>устанавливается Индекс открытости бюджетных процессов страны.</w:t>
      </w:r>
    </w:p>
    <w:p w:rsidR="006B0214" w:rsidRDefault="006B0214" w:rsidP="006B021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214">
        <w:rPr>
          <w:rFonts w:asciiTheme="majorHAnsi" w:eastAsia="+mj-ea" w:hAnsiTheme="majorHAnsi" w:cs="+mj-cs"/>
          <w:b/>
          <w:color w:val="990033"/>
          <w:sz w:val="32"/>
          <w:szCs w:val="32"/>
        </w:rPr>
        <w:t>Принцип прозрачности (открытости) означает</w:t>
      </w:r>
      <w:r w:rsidRPr="006B0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6B0214" w:rsidRPr="006B0214" w:rsidRDefault="006B0214" w:rsidP="006B021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A20E1" w:rsidRDefault="006B0214" w:rsidP="00AA20E1">
      <w:pPr>
        <w:pStyle w:val="a3"/>
        <w:numPr>
          <w:ilvl w:val="0"/>
          <w:numId w:val="5"/>
        </w:numPr>
        <w:shd w:val="clear" w:color="auto" w:fill="FFFFFF"/>
        <w:spacing w:line="315" w:lineRule="atLeast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bookmarkStart w:id="2" w:name="dst1192"/>
      <w:bookmarkEnd w:id="2"/>
      <w:r w:rsidRPr="00AA20E1">
        <w:rPr>
          <w:rFonts w:asciiTheme="majorHAnsi" w:eastAsia="+mn-ea" w:hAnsiTheme="majorHAnsi" w:cs="+mn-cs"/>
          <w:color w:val="330033"/>
          <w:sz w:val="28"/>
          <w:szCs w:val="28"/>
        </w:rPr>
        <w:t>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органов государственной и муниципальной власти</w:t>
      </w:r>
      <w:r w:rsidR="00AA20E1">
        <w:rPr>
          <w:rFonts w:asciiTheme="majorHAnsi" w:eastAsia="+mn-ea" w:hAnsiTheme="majorHAnsi" w:cs="+mn-cs"/>
          <w:color w:val="330033"/>
          <w:sz w:val="28"/>
          <w:szCs w:val="28"/>
        </w:rPr>
        <w:t>;</w:t>
      </w:r>
    </w:p>
    <w:p w:rsidR="00AA20E1" w:rsidRPr="00AA20E1" w:rsidRDefault="006B0214" w:rsidP="00AA20E1">
      <w:pPr>
        <w:pStyle w:val="a3"/>
        <w:numPr>
          <w:ilvl w:val="0"/>
          <w:numId w:val="5"/>
        </w:numPr>
        <w:shd w:val="clear" w:color="auto" w:fill="FFFFFF"/>
        <w:spacing w:line="315" w:lineRule="atLeast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AA20E1">
        <w:rPr>
          <w:rFonts w:asciiTheme="majorHAnsi" w:eastAsia="+mn-ea" w:hAnsiTheme="majorHAnsi" w:cs="+mn-cs"/>
          <w:color w:val="330033"/>
          <w:sz w:val="28"/>
          <w:szCs w:val="28"/>
        </w:rPr>
        <w:t xml:space="preserve"> обязательную открытость для общества и средств массовой информации проектов бюджетов, внесенных в законодательные органы государственной муниципальной власти, процедур рассмотрения и принятия решений по проектам бюджетов, в том числе по вопросам, вызывающим разногласия внутри законодательного органа государственной и муниципальной власти</w:t>
      </w:r>
      <w:r w:rsidRPr="00AA20E1">
        <w:rPr>
          <w:rFonts w:asciiTheme="majorHAnsi" w:eastAsia="+mn-ea" w:hAnsiTheme="majorHAnsi" w:cs="+mn-cs"/>
          <w:color w:val="330033"/>
        </w:rPr>
        <w:t>;</w:t>
      </w:r>
      <w:r w:rsidR="00AA20E1" w:rsidRPr="00AA20E1">
        <w:rPr>
          <w:rFonts w:asciiTheme="majorHAnsi" w:eastAsia="+mn-ea" w:hAnsiTheme="majorHAnsi" w:cs="+mn-cs"/>
          <w:color w:val="330033"/>
        </w:rPr>
        <w:t xml:space="preserve"> </w:t>
      </w:r>
      <w:bookmarkStart w:id="3" w:name="dst103110"/>
      <w:bookmarkEnd w:id="3"/>
    </w:p>
    <w:p w:rsidR="00AA20E1" w:rsidRDefault="006B0214" w:rsidP="00AA20E1">
      <w:pPr>
        <w:pStyle w:val="a3"/>
        <w:numPr>
          <w:ilvl w:val="0"/>
          <w:numId w:val="5"/>
        </w:numPr>
        <w:shd w:val="clear" w:color="auto" w:fill="FFFFFF"/>
        <w:spacing w:line="315" w:lineRule="atLeast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AA20E1">
        <w:rPr>
          <w:rFonts w:asciiTheme="majorHAnsi" w:eastAsia="+mn-ea" w:hAnsiTheme="majorHAnsi" w:cs="+mn-cs"/>
          <w:color w:val="330033"/>
          <w:sz w:val="28"/>
          <w:szCs w:val="28"/>
        </w:rPr>
        <w:t xml:space="preserve">обеспечение доступа к </w:t>
      </w:r>
      <w:r w:rsidR="00884B75">
        <w:rPr>
          <w:rFonts w:asciiTheme="majorHAnsi" w:eastAsia="+mn-ea" w:hAnsiTheme="majorHAnsi" w:cs="+mn-cs"/>
          <w:color w:val="330033"/>
          <w:sz w:val="28"/>
          <w:szCs w:val="28"/>
        </w:rPr>
        <w:t xml:space="preserve">бюджетной </w:t>
      </w:r>
      <w:r w:rsidRPr="00AA20E1">
        <w:rPr>
          <w:rFonts w:asciiTheme="majorHAnsi" w:eastAsia="+mn-ea" w:hAnsiTheme="majorHAnsi" w:cs="+mn-cs"/>
          <w:color w:val="330033"/>
          <w:sz w:val="28"/>
          <w:szCs w:val="28"/>
        </w:rPr>
        <w:t xml:space="preserve">информации, размещенной </w:t>
      </w:r>
      <w:r w:rsidR="00AA20E1">
        <w:rPr>
          <w:rFonts w:asciiTheme="majorHAnsi" w:eastAsia="+mn-ea" w:hAnsiTheme="majorHAnsi" w:cs="+mn-cs"/>
          <w:color w:val="330033"/>
          <w:sz w:val="28"/>
          <w:szCs w:val="28"/>
        </w:rPr>
        <w:t>на сайте Министерства</w:t>
      </w:r>
      <w:r w:rsidRPr="00AA20E1">
        <w:rPr>
          <w:rFonts w:asciiTheme="majorHAnsi" w:eastAsia="+mn-ea" w:hAnsiTheme="majorHAnsi" w:cs="+mn-cs"/>
          <w:color w:val="330033"/>
          <w:sz w:val="28"/>
          <w:szCs w:val="28"/>
        </w:rPr>
        <w:t xml:space="preserve"> </w:t>
      </w:r>
      <w:r w:rsidR="00AA20E1">
        <w:rPr>
          <w:rFonts w:asciiTheme="majorHAnsi" w:eastAsia="+mn-ea" w:hAnsiTheme="majorHAnsi" w:cs="+mn-cs"/>
          <w:color w:val="330033"/>
          <w:sz w:val="28"/>
          <w:szCs w:val="28"/>
        </w:rPr>
        <w:t>Финансов</w:t>
      </w:r>
      <w:bookmarkStart w:id="4" w:name="dst1194"/>
      <w:bookmarkStart w:id="5" w:name="_GoBack"/>
      <w:bookmarkEnd w:id="4"/>
      <w:bookmarkEnd w:id="5"/>
      <w:r w:rsidR="00AA20E1">
        <w:rPr>
          <w:rFonts w:asciiTheme="majorHAnsi" w:eastAsia="+mn-ea" w:hAnsiTheme="majorHAnsi" w:cs="+mn-cs"/>
          <w:color w:val="330033"/>
          <w:sz w:val="28"/>
          <w:szCs w:val="28"/>
        </w:rPr>
        <w:t>;</w:t>
      </w:r>
    </w:p>
    <w:p w:rsidR="006B0214" w:rsidRPr="006B0214" w:rsidRDefault="006B0214" w:rsidP="00AA20E1">
      <w:pPr>
        <w:pStyle w:val="a3"/>
        <w:numPr>
          <w:ilvl w:val="0"/>
          <w:numId w:val="5"/>
        </w:numPr>
        <w:shd w:val="clear" w:color="auto" w:fill="FFFFFF"/>
        <w:spacing w:line="315" w:lineRule="atLeast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6B0214">
        <w:rPr>
          <w:rFonts w:asciiTheme="majorHAnsi" w:eastAsia="+mn-ea" w:hAnsiTheme="majorHAnsi" w:cs="+mn-cs"/>
          <w:color w:val="330033"/>
          <w:sz w:val="28"/>
          <w:szCs w:val="28"/>
        </w:rPr>
        <w:t>стабильность и (или) преемственность бюджетной кл</w:t>
      </w:r>
      <w:r w:rsidR="00AA20E1">
        <w:rPr>
          <w:rFonts w:asciiTheme="majorHAnsi" w:eastAsia="+mn-ea" w:hAnsiTheme="majorHAnsi" w:cs="+mn-cs"/>
          <w:color w:val="330033"/>
          <w:sz w:val="28"/>
          <w:szCs w:val="28"/>
        </w:rPr>
        <w:t>ассификации</w:t>
      </w:r>
      <w:r w:rsidRPr="006B0214">
        <w:rPr>
          <w:rFonts w:asciiTheme="majorHAnsi" w:eastAsia="+mn-ea" w:hAnsiTheme="majorHAnsi" w:cs="+mn-cs"/>
          <w:color w:val="330033"/>
          <w:sz w:val="28"/>
          <w:szCs w:val="28"/>
        </w:rPr>
        <w:t>, а также обеспечение сопоставимости показателей бюджета отчетного, текущего и очередного финансового года (очередного финанс</w:t>
      </w:r>
      <w:r w:rsidR="00AA20E1">
        <w:rPr>
          <w:rFonts w:asciiTheme="majorHAnsi" w:eastAsia="+mn-ea" w:hAnsiTheme="majorHAnsi" w:cs="+mn-cs"/>
          <w:color w:val="330033"/>
          <w:sz w:val="28"/>
          <w:szCs w:val="28"/>
        </w:rPr>
        <w:t>ового года и планового периода)</w:t>
      </w:r>
    </w:p>
    <w:p w:rsidR="006B0214" w:rsidRPr="006B0214" w:rsidRDefault="006B0214" w:rsidP="006B0214">
      <w:pPr>
        <w:shd w:val="clear" w:color="auto" w:fill="FFFFFF"/>
        <w:spacing w:after="0" w:line="315" w:lineRule="atLeast"/>
        <w:ind w:firstLine="540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</w:p>
    <w:p w:rsidR="00302932" w:rsidRDefault="00302932" w:rsidP="00184A8E">
      <w:p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>
        <w:rPr>
          <w:rFonts w:asciiTheme="majorHAnsi" w:eastAsia="+mj-ea" w:hAnsiTheme="majorHAnsi" w:cs="+mj-cs"/>
          <w:b/>
          <w:color w:val="990033"/>
          <w:sz w:val="32"/>
          <w:szCs w:val="32"/>
        </w:rPr>
        <w:t>Почему важна прозрачность бюджета?</w:t>
      </w:r>
    </w:p>
    <w:p w:rsidR="00302932" w:rsidRPr="00302932" w:rsidRDefault="00302932" w:rsidP="00302932">
      <w:pPr>
        <w:pStyle w:val="a3"/>
        <w:numPr>
          <w:ilvl w:val="0"/>
          <w:numId w:val="4"/>
        </w:num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>
        <w:rPr>
          <w:rFonts w:asciiTheme="majorHAnsi" w:eastAsia="+mn-ea" w:hAnsiTheme="majorHAnsi" w:cs="+mn-cs"/>
          <w:color w:val="330033"/>
          <w:sz w:val="28"/>
          <w:szCs w:val="28"/>
        </w:rPr>
        <w:t>Усиливает контроль общественности, подотчетность правительства;</w:t>
      </w:r>
    </w:p>
    <w:p w:rsidR="00302932" w:rsidRPr="00302932" w:rsidRDefault="00302932" w:rsidP="00302932">
      <w:pPr>
        <w:pStyle w:val="a3"/>
        <w:numPr>
          <w:ilvl w:val="0"/>
          <w:numId w:val="4"/>
        </w:num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>
        <w:rPr>
          <w:rFonts w:asciiTheme="majorHAnsi" w:eastAsia="+mn-ea" w:hAnsiTheme="majorHAnsi" w:cs="+mn-cs"/>
          <w:color w:val="330033"/>
          <w:sz w:val="28"/>
          <w:szCs w:val="28"/>
        </w:rPr>
        <w:t>Улучшает качество государственных услуг;</w:t>
      </w:r>
    </w:p>
    <w:p w:rsidR="00302932" w:rsidRPr="007F4955" w:rsidRDefault="00302932" w:rsidP="00302932">
      <w:pPr>
        <w:pStyle w:val="a3"/>
        <w:numPr>
          <w:ilvl w:val="0"/>
          <w:numId w:val="4"/>
        </w:num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>
        <w:rPr>
          <w:rFonts w:asciiTheme="majorHAnsi" w:eastAsia="+mn-ea" w:hAnsiTheme="majorHAnsi" w:cs="+mn-cs"/>
          <w:color w:val="330033"/>
          <w:sz w:val="28"/>
          <w:szCs w:val="28"/>
        </w:rPr>
        <w:t>Позволяет заручиться доверием граждан и дополнительной поддержкой запланированных государственных решений;</w:t>
      </w:r>
    </w:p>
    <w:p w:rsidR="007F4955" w:rsidRPr="007F4955" w:rsidRDefault="007F4955" w:rsidP="00302932">
      <w:pPr>
        <w:pStyle w:val="a3"/>
        <w:numPr>
          <w:ilvl w:val="0"/>
          <w:numId w:val="4"/>
        </w:num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>
        <w:rPr>
          <w:rFonts w:asciiTheme="majorHAnsi" w:eastAsia="+mn-ea" w:hAnsiTheme="majorHAnsi" w:cs="+mn-cs"/>
          <w:color w:val="330033"/>
          <w:sz w:val="28"/>
          <w:szCs w:val="28"/>
        </w:rPr>
        <w:t>Ограничивает коррупцию;</w:t>
      </w:r>
    </w:p>
    <w:p w:rsidR="007F4955" w:rsidRPr="007F4955" w:rsidRDefault="007F4955" w:rsidP="00302932">
      <w:pPr>
        <w:pStyle w:val="a3"/>
        <w:numPr>
          <w:ilvl w:val="0"/>
          <w:numId w:val="4"/>
        </w:num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>
        <w:rPr>
          <w:rFonts w:asciiTheme="majorHAnsi" w:eastAsia="+mn-ea" w:hAnsiTheme="majorHAnsi" w:cs="+mn-cs"/>
          <w:color w:val="330033"/>
          <w:sz w:val="28"/>
          <w:szCs w:val="28"/>
        </w:rPr>
        <w:t>Привлекает инвестиции, уменьшает стоимость заимствований;</w:t>
      </w:r>
    </w:p>
    <w:p w:rsidR="007F4955" w:rsidRPr="00302932" w:rsidRDefault="007F4955" w:rsidP="00302932">
      <w:pPr>
        <w:pStyle w:val="a3"/>
        <w:numPr>
          <w:ilvl w:val="0"/>
          <w:numId w:val="4"/>
        </w:num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>
        <w:rPr>
          <w:rFonts w:asciiTheme="majorHAnsi" w:eastAsia="+mn-ea" w:hAnsiTheme="majorHAnsi" w:cs="+mn-cs"/>
          <w:color w:val="330033"/>
          <w:sz w:val="28"/>
          <w:szCs w:val="28"/>
        </w:rPr>
        <w:lastRenderedPageBreak/>
        <w:t>Позволяет отслеживать важные для страны вопросы (например: динамику государственного долга)</w:t>
      </w:r>
    </w:p>
    <w:p w:rsidR="00302932" w:rsidRDefault="00302932" w:rsidP="00184A8E">
      <w:p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</w:p>
    <w:p w:rsidR="005F2FC2" w:rsidRDefault="00184A8E" w:rsidP="00184A8E">
      <w:p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184A8E">
        <w:rPr>
          <w:rFonts w:asciiTheme="majorHAnsi" w:eastAsia="+mj-ea" w:hAnsiTheme="majorHAnsi" w:cs="+mj-cs"/>
          <w:b/>
          <w:color w:val="990033"/>
          <w:sz w:val="32"/>
          <w:szCs w:val="32"/>
        </w:rPr>
        <w:t>Что такое бюджетная прозрачность?</w:t>
      </w:r>
    </w:p>
    <w:p w:rsidR="00705FF6" w:rsidRPr="001277D2" w:rsidRDefault="00705FF6" w:rsidP="00705FF6">
      <w:pPr>
        <w:pStyle w:val="a3"/>
        <w:numPr>
          <w:ilvl w:val="0"/>
          <w:numId w:val="2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277D2">
        <w:rPr>
          <w:rFonts w:asciiTheme="majorHAnsi" w:eastAsia="+mn-ea" w:hAnsiTheme="majorHAnsi" w:cs="+mn-cs"/>
          <w:color w:val="330033"/>
          <w:sz w:val="28"/>
          <w:szCs w:val="28"/>
        </w:rPr>
        <w:t xml:space="preserve"> </w:t>
      </w:r>
      <w:r>
        <w:rPr>
          <w:rFonts w:asciiTheme="majorHAnsi" w:eastAsia="+mn-ea" w:hAnsiTheme="majorHAnsi" w:cs="+mn-cs"/>
          <w:color w:val="330033"/>
          <w:sz w:val="28"/>
          <w:szCs w:val="28"/>
        </w:rPr>
        <w:t>Прозрачность – это открытость политический намерений, процесса формирования и реализации стратегий, что является ключевым элементом эффективного управления.</w:t>
      </w:r>
    </w:p>
    <w:p w:rsidR="005666B7" w:rsidRPr="005666B7" w:rsidRDefault="005666B7" w:rsidP="00705FF6">
      <w:pPr>
        <w:pStyle w:val="a3"/>
        <w:numPr>
          <w:ilvl w:val="0"/>
          <w:numId w:val="2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>
        <w:rPr>
          <w:rFonts w:asciiTheme="majorHAnsi" w:eastAsia="+mn-ea" w:hAnsiTheme="majorHAnsi" w:cs="+mn-cs"/>
          <w:color w:val="330033"/>
          <w:sz w:val="28"/>
          <w:szCs w:val="28"/>
        </w:rPr>
        <w:t>Прозрачность бюджета или бюджетного процесса – это:</w:t>
      </w:r>
    </w:p>
    <w:p w:rsidR="005666B7" w:rsidRDefault="005666B7" w:rsidP="005666B7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ajorHAnsi" w:eastAsia="+mn-ea" w:hAnsiTheme="majorHAnsi" w:cs="+mn-cs"/>
          <w:color w:val="330033"/>
        </w:rPr>
      </w:pPr>
      <w:r w:rsidRPr="005666B7">
        <w:rPr>
          <w:rFonts w:asciiTheme="majorHAnsi" w:eastAsia="+mn-ea" w:hAnsiTheme="majorHAnsi" w:cs="+mn-cs"/>
          <w:color w:val="330033"/>
        </w:rPr>
        <w:t>Полное, своевременное и систематизированное раскрытие всех соответствующих бюджетно-финансовых сведений;</w:t>
      </w:r>
    </w:p>
    <w:p w:rsidR="00DF2373" w:rsidRDefault="005666B7" w:rsidP="005666B7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ajorHAnsi" w:eastAsia="+mn-ea" w:hAnsiTheme="majorHAnsi" w:cs="+mn-cs"/>
          <w:color w:val="330033"/>
        </w:rPr>
      </w:pPr>
      <w:r>
        <w:rPr>
          <w:rFonts w:asciiTheme="majorHAnsi" w:eastAsia="+mn-ea" w:hAnsiTheme="majorHAnsi" w:cs="+mn-cs"/>
          <w:color w:val="330033"/>
        </w:rPr>
        <w:t>четкость роли и функций органов управления в бюджетной сфере;</w:t>
      </w:r>
    </w:p>
    <w:p w:rsidR="00DF2373" w:rsidRDefault="00DF2373" w:rsidP="005666B7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ajorHAnsi" w:eastAsia="+mn-ea" w:hAnsiTheme="majorHAnsi" w:cs="+mn-cs"/>
          <w:color w:val="330033"/>
        </w:rPr>
      </w:pPr>
      <w:r>
        <w:rPr>
          <w:rFonts w:asciiTheme="majorHAnsi" w:eastAsia="+mn-ea" w:hAnsiTheme="majorHAnsi" w:cs="+mn-cs"/>
          <w:color w:val="330033"/>
        </w:rPr>
        <w:t>открытость подготовки и исполнения бюджета и бюджетной отчетности;</w:t>
      </w:r>
    </w:p>
    <w:p w:rsidR="00DF2373" w:rsidRDefault="00DF2373" w:rsidP="005666B7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ajorHAnsi" w:eastAsia="+mn-ea" w:hAnsiTheme="majorHAnsi" w:cs="+mn-cs"/>
          <w:color w:val="330033"/>
        </w:rPr>
      </w:pPr>
      <w:r>
        <w:rPr>
          <w:rFonts w:asciiTheme="majorHAnsi" w:eastAsia="+mn-ea" w:hAnsiTheme="majorHAnsi" w:cs="+mn-cs"/>
          <w:color w:val="330033"/>
        </w:rPr>
        <w:t>открытый доступ для общественности о бюджетном процессе и бюджете;</w:t>
      </w:r>
    </w:p>
    <w:p w:rsidR="009B2F66" w:rsidRDefault="00DF2373" w:rsidP="005666B7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Theme="majorHAnsi" w:eastAsia="+mn-ea" w:hAnsiTheme="majorHAnsi" w:cs="+mn-cs"/>
          <w:color w:val="330033"/>
        </w:rPr>
      </w:pPr>
      <w:r>
        <w:rPr>
          <w:rFonts w:asciiTheme="majorHAnsi" w:eastAsia="+mn-ea" w:hAnsiTheme="majorHAnsi" w:cs="+mn-cs"/>
          <w:color w:val="330033"/>
        </w:rPr>
        <w:t>наличие условий для участия общественности в бюджетном процессе</w:t>
      </w:r>
    </w:p>
    <w:p w:rsidR="00EA5604" w:rsidRDefault="00EA5604" w:rsidP="00EA5604">
      <w:pPr>
        <w:pStyle w:val="a3"/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</w:p>
    <w:p w:rsidR="007F080E" w:rsidRDefault="00EA5604" w:rsidP="00EA5604">
      <w:pPr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EA5604">
        <w:rPr>
          <w:rFonts w:asciiTheme="majorHAnsi" w:eastAsia="+mj-ea" w:hAnsiTheme="majorHAnsi" w:cs="+mj-cs"/>
          <w:b/>
          <w:color w:val="990033"/>
          <w:sz w:val="32"/>
          <w:szCs w:val="32"/>
        </w:rPr>
        <w:t xml:space="preserve">Подотчетность </w:t>
      </w:r>
      <w:r>
        <w:rPr>
          <w:rFonts w:asciiTheme="majorHAnsi" w:eastAsia="+mj-ea" w:hAnsiTheme="majorHAnsi" w:cs="+mj-cs"/>
          <w:b/>
          <w:color w:val="990033"/>
          <w:sz w:val="32"/>
          <w:szCs w:val="32"/>
        </w:rPr>
        <w:t xml:space="preserve">- </w:t>
      </w:r>
      <w:r>
        <w:rPr>
          <w:rFonts w:asciiTheme="majorHAnsi" w:eastAsia="+mn-ea" w:hAnsiTheme="majorHAnsi" w:cs="+mn-cs"/>
          <w:color w:val="330033"/>
          <w:sz w:val="28"/>
          <w:szCs w:val="28"/>
        </w:rPr>
        <w:t xml:space="preserve">это процесс, в ходе которого организация активно формирует официальную структуру сбалансированных взаимоотношений с различными стейкхолдерами, наделяя их полномочиями повышать ответственность организации за принимаемые решения, деятельность и социальный эффект с целью постоянного улучшения результатов с точки зрения миссии.              </w:t>
      </w:r>
    </w:p>
    <w:p w:rsidR="007F080E" w:rsidRPr="007F080E" w:rsidRDefault="007F080E" w:rsidP="007F080E">
      <w:pPr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7F080E">
        <w:rPr>
          <w:rFonts w:asciiTheme="majorHAnsi" w:eastAsia="+mj-ea" w:hAnsiTheme="majorHAnsi" w:cs="+mj-cs"/>
          <w:b/>
          <w:color w:val="990033"/>
          <w:sz w:val="32"/>
          <w:szCs w:val="32"/>
        </w:rPr>
        <w:t>ПОДОТЧЕТНОСТЬ</w:t>
      </w:r>
      <w:r w:rsidRPr="007F080E">
        <w:rPr>
          <w:rFonts w:asciiTheme="majorHAnsi" w:eastAsia="+mn-ea" w:hAnsiTheme="majorHAnsi" w:cs="+mn-cs"/>
          <w:i/>
          <w:color w:val="330033"/>
          <w:sz w:val="28"/>
          <w:szCs w:val="28"/>
        </w:rPr>
        <w:t xml:space="preserve"> </w:t>
      </w:r>
      <w:r w:rsidRPr="007F080E">
        <w:rPr>
          <w:rFonts w:asciiTheme="majorHAnsi" w:eastAsia="+mj-ea" w:hAnsiTheme="majorHAnsi" w:cs="+mj-cs"/>
          <w:b/>
          <w:i/>
          <w:color w:val="990033"/>
          <w:sz w:val="28"/>
          <w:szCs w:val="28"/>
        </w:rPr>
        <w:t>(</w:t>
      </w:r>
      <w:proofErr w:type="spellStart"/>
      <w:r w:rsidRPr="007F080E">
        <w:rPr>
          <w:rFonts w:asciiTheme="majorHAnsi" w:eastAsia="+mj-ea" w:hAnsiTheme="majorHAnsi" w:cs="+mj-cs"/>
          <w:b/>
          <w:i/>
          <w:color w:val="990033"/>
          <w:sz w:val="28"/>
          <w:szCs w:val="28"/>
        </w:rPr>
        <w:t>accountability</w:t>
      </w:r>
      <w:proofErr w:type="spellEnd"/>
      <w:r w:rsidRPr="007F080E">
        <w:rPr>
          <w:rFonts w:asciiTheme="majorHAnsi" w:eastAsia="+mj-ea" w:hAnsiTheme="majorHAnsi" w:cs="+mj-cs"/>
          <w:b/>
          <w:i/>
          <w:color w:val="990033"/>
          <w:sz w:val="28"/>
          <w:szCs w:val="28"/>
        </w:rPr>
        <w:t>)</w:t>
      </w:r>
      <w:r w:rsidRPr="007F080E">
        <w:rPr>
          <w:rFonts w:asciiTheme="majorHAnsi" w:hAnsiTheme="majorHAnsi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Theme="majorHAnsi" w:hAnsiTheme="majorHAnsi"/>
          <w:color w:val="555555"/>
          <w:sz w:val="21"/>
          <w:szCs w:val="21"/>
          <w:shd w:val="clear" w:color="auto" w:fill="FFFFFF"/>
        </w:rPr>
        <w:t xml:space="preserve">- </w:t>
      </w:r>
      <w:r w:rsidRPr="007F080E">
        <w:rPr>
          <w:rFonts w:asciiTheme="majorHAnsi" w:eastAsia="+mn-ea" w:hAnsiTheme="majorHAnsi" w:cs="+mn-cs"/>
          <w:color w:val="330033"/>
          <w:sz w:val="28"/>
          <w:szCs w:val="28"/>
        </w:rPr>
        <w:t>Условие, согласно которому члены представительных органов власти отвечают перед теми, кого они представляют, за исполнение своих властных полномочий и обязанностей</w:t>
      </w:r>
      <w:r>
        <w:rPr>
          <w:rFonts w:asciiTheme="majorHAnsi" w:eastAsia="+mn-ea" w:hAnsiTheme="majorHAnsi" w:cs="+mn-cs"/>
          <w:color w:val="330033"/>
          <w:sz w:val="28"/>
          <w:szCs w:val="28"/>
        </w:rPr>
        <w:t>.</w:t>
      </w:r>
    </w:p>
    <w:p w:rsidR="00EA5604" w:rsidRDefault="00EA5604" w:rsidP="00EA5604">
      <w:pPr>
        <w:textAlignment w:val="baseline"/>
        <w:rPr>
          <w:rFonts w:asciiTheme="majorHAnsi" w:eastAsia="+mn-ea" w:hAnsiTheme="majorHAnsi" w:cs="+mn-cs"/>
          <w:i/>
          <w:color w:val="330033"/>
          <w:sz w:val="28"/>
          <w:szCs w:val="28"/>
        </w:rPr>
      </w:pPr>
      <w:r w:rsidRPr="00EA5604">
        <w:rPr>
          <w:rFonts w:asciiTheme="majorHAnsi" w:eastAsia="+mn-ea" w:hAnsiTheme="majorHAnsi" w:cs="+mn-cs"/>
          <w:i/>
          <w:color w:val="330033"/>
          <w:sz w:val="28"/>
          <w:szCs w:val="28"/>
        </w:rPr>
        <w:t>Другими словами</w:t>
      </w:r>
      <w:r>
        <w:rPr>
          <w:rFonts w:asciiTheme="majorHAnsi" w:eastAsia="+mn-ea" w:hAnsiTheme="majorHAnsi" w:cs="+mn-cs"/>
          <w:i/>
          <w:color w:val="330033"/>
          <w:sz w:val="28"/>
          <w:szCs w:val="28"/>
        </w:rPr>
        <w:t xml:space="preserve">, </w:t>
      </w:r>
      <w:r w:rsidRPr="00EA5604">
        <w:rPr>
          <w:rFonts w:asciiTheme="majorHAnsi" w:eastAsia="+mj-ea" w:hAnsiTheme="majorHAnsi" w:cs="+mj-cs"/>
          <w:b/>
          <w:i/>
          <w:color w:val="990033"/>
          <w:sz w:val="28"/>
          <w:szCs w:val="28"/>
        </w:rPr>
        <w:t>подотчётность</w:t>
      </w:r>
      <w:r w:rsidRPr="00EA5604">
        <w:rPr>
          <w:rFonts w:asciiTheme="majorHAnsi" w:eastAsia="+mn-ea" w:hAnsiTheme="majorHAnsi" w:cs="+mn-cs"/>
          <w:color w:val="330033"/>
          <w:sz w:val="28"/>
          <w:szCs w:val="28"/>
        </w:rPr>
        <w:t xml:space="preserve"> </w:t>
      </w:r>
      <w:r w:rsidR="007F080E" w:rsidRPr="007F080E">
        <w:rPr>
          <w:rFonts w:asciiTheme="majorHAnsi" w:eastAsia="+mj-ea" w:hAnsiTheme="majorHAnsi" w:cs="+mj-cs"/>
          <w:b/>
          <w:i/>
          <w:color w:val="990033"/>
          <w:sz w:val="28"/>
          <w:szCs w:val="28"/>
        </w:rPr>
        <w:t>(</w:t>
      </w:r>
      <w:proofErr w:type="spellStart"/>
      <w:r w:rsidR="007F080E" w:rsidRPr="007F080E">
        <w:rPr>
          <w:rFonts w:asciiTheme="majorHAnsi" w:eastAsia="+mj-ea" w:hAnsiTheme="majorHAnsi" w:cs="+mj-cs"/>
          <w:b/>
          <w:i/>
          <w:color w:val="990033"/>
          <w:sz w:val="28"/>
          <w:szCs w:val="28"/>
        </w:rPr>
        <w:t>accountability</w:t>
      </w:r>
      <w:proofErr w:type="spellEnd"/>
      <w:r w:rsidR="007F080E">
        <w:rPr>
          <w:rFonts w:asciiTheme="majorHAnsi" w:eastAsia="+mj-ea" w:hAnsiTheme="majorHAnsi" w:cs="+mj-cs"/>
          <w:b/>
          <w:i/>
          <w:color w:val="990033"/>
          <w:sz w:val="28"/>
          <w:szCs w:val="28"/>
        </w:rPr>
        <w:t>)-</w:t>
      </w:r>
      <w:r w:rsidR="007F080E" w:rsidRPr="00EA5604">
        <w:rPr>
          <w:rFonts w:asciiTheme="majorHAnsi" w:eastAsia="+mn-ea" w:hAnsiTheme="majorHAnsi" w:cs="+mn-cs"/>
          <w:i/>
          <w:color w:val="330033"/>
          <w:sz w:val="28"/>
          <w:szCs w:val="28"/>
        </w:rPr>
        <w:t xml:space="preserve"> </w:t>
      </w:r>
      <w:r w:rsidRPr="00EA5604">
        <w:rPr>
          <w:rFonts w:asciiTheme="majorHAnsi" w:eastAsia="+mn-ea" w:hAnsiTheme="majorHAnsi" w:cs="+mn-cs"/>
          <w:i/>
          <w:color w:val="330033"/>
          <w:sz w:val="28"/>
          <w:szCs w:val="28"/>
        </w:rPr>
        <w:t>это</w:t>
      </w:r>
      <w:r>
        <w:rPr>
          <w:rFonts w:asciiTheme="majorHAnsi" w:eastAsia="+mn-ea" w:hAnsiTheme="majorHAnsi" w:cs="+mn-cs"/>
          <w:i/>
          <w:color w:val="330033"/>
          <w:sz w:val="28"/>
          <w:szCs w:val="28"/>
        </w:rPr>
        <w:t xml:space="preserve"> обязательство или готовность взять на себя ответственность или отчитаться за свои действия.</w:t>
      </w:r>
    </w:p>
    <w:p w:rsidR="00EA5604" w:rsidRPr="00EA5604" w:rsidRDefault="00EA5604" w:rsidP="00EA5604">
      <w:pPr>
        <w:textAlignment w:val="baseline"/>
        <w:rPr>
          <w:rFonts w:asciiTheme="majorHAnsi" w:eastAsia="+mn-ea" w:hAnsiTheme="majorHAnsi" w:cs="+mn-cs"/>
          <w:color w:val="330033"/>
        </w:rPr>
      </w:pPr>
    </w:p>
    <w:sectPr w:rsidR="00EA5604" w:rsidRPr="00EA56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F7" w:rsidRDefault="00925FF7" w:rsidP="00F41588">
      <w:pPr>
        <w:spacing w:after="0" w:line="240" w:lineRule="auto"/>
      </w:pPr>
      <w:r>
        <w:separator/>
      </w:r>
    </w:p>
  </w:endnote>
  <w:endnote w:type="continuationSeparator" w:id="0">
    <w:p w:rsidR="00925FF7" w:rsidRDefault="00925FF7" w:rsidP="00F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87651"/>
      <w:docPartObj>
        <w:docPartGallery w:val="Page Numbers (Bottom of Page)"/>
        <w:docPartUnique/>
      </w:docPartObj>
    </w:sdtPr>
    <w:sdtContent>
      <w:p w:rsidR="00F41588" w:rsidRDefault="00F415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F49">
          <w:rPr>
            <w:noProof/>
          </w:rPr>
          <w:t>1</w:t>
        </w:r>
        <w:r>
          <w:fldChar w:fldCharType="end"/>
        </w:r>
      </w:p>
    </w:sdtContent>
  </w:sdt>
  <w:p w:rsidR="00F41588" w:rsidRDefault="00F415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F7" w:rsidRDefault="00925FF7" w:rsidP="00F41588">
      <w:pPr>
        <w:spacing w:after="0" w:line="240" w:lineRule="auto"/>
      </w:pPr>
      <w:r>
        <w:separator/>
      </w:r>
    </w:p>
  </w:footnote>
  <w:footnote w:type="continuationSeparator" w:id="0">
    <w:p w:rsidR="00925FF7" w:rsidRDefault="00925FF7" w:rsidP="00F41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C2E"/>
    <w:multiLevelType w:val="hybridMultilevel"/>
    <w:tmpl w:val="ED9291F2"/>
    <w:lvl w:ilvl="0" w:tplc="83C6DC1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2A1C7" w:themeColor="accent4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1523D"/>
    <w:multiLevelType w:val="multilevel"/>
    <w:tmpl w:val="7FD4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2339E"/>
    <w:multiLevelType w:val="hybridMultilevel"/>
    <w:tmpl w:val="DC90F932"/>
    <w:lvl w:ilvl="0" w:tplc="7C1480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26A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0F5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A23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8B4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682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6AE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C47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E20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F2DC4"/>
    <w:multiLevelType w:val="hybridMultilevel"/>
    <w:tmpl w:val="175A44C6"/>
    <w:lvl w:ilvl="0" w:tplc="B120C59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B2A1C7" w:themeColor="accent4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217B7"/>
    <w:multiLevelType w:val="hybridMultilevel"/>
    <w:tmpl w:val="D512C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66"/>
    <w:rsid w:val="00012F49"/>
    <w:rsid w:val="00184A8E"/>
    <w:rsid w:val="00234E12"/>
    <w:rsid w:val="002C7A51"/>
    <w:rsid w:val="00302932"/>
    <w:rsid w:val="005666B7"/>
    <w:rsid w:val="005B15AC"/>
    <w:rsid w:val="005F2FC2"/>
    <w:rsid w:val="006B0214"/>
    <w:rsid w:val="00705FF6"/>
    <w:rsid w:val="007F080E"/>
    <w:rsid w:val="007F37EF"/>
    <w:rsid w:val="007F4955"/>
    <w:rsid w:val="00804E26"/>
    <w:rsid w:val="00884B75"/>
    <w:rsid w:val="0092523B"/>
    <w:rsid w:val="00925FF7"/>
    <w:rsid w:val="009B2F66"/>
    <w:rsid w:val="009B6A39"/>
    <w:rsid w:val="00AA20E1"/>
    <w:rsid w:val="00B35306"/>
    <w:rsid w:val="00D60C7C"/>
    <w:rsid w:val="00DB735F"/>
    <w:rsid w:val="00DF2373"/>
    <w:rsid w:val="00E76EF5"/>
    <w:rsid w:val="00EA5604"/>
    <w:rsid w:val="00F4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588"/>
  </w:style>
  <w:style w:type="paragraph" w:styleId="a6">
    <w:name w:val="footer"/>
    <w:basedOn w:val="a"/>
    <w:link w:val="a7"/>
    <w:uiPriority w:val="99"/>
    <w:unhideWhenUsed/>
    <w:rsid w:val="00F4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588"/>
  </w:style>
  <w:style w:type="paragraph" w:styleId="a6">
    <w:name w:val="footer"/>
    <w:basedOn w:val="a"/>
    <w:link w:val="a7"/>
    <w:uiPriority w:val="99"/>
    <w:unhideWhenUsed/>
    <w:rsid w:val="00F4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9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6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5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3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2</cp:revision>
  <dcterms:created xsi:type="dcterms:W3CDTF">2021-04-25T20:16:00Z</dcterms:created>
  <dcterms:modified xsi:type="dcterms:W3CDTF">2021-04-25T20:16:00Z</dcterms:modified>
</cp:coreProperties>
</file>